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Российская Федерация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Калужской области Юхновского района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19 сентября 2017 года № 54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Об основных направлениях бюджетной и налоговой политики муниципального образования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на 2018 год и на плановый период 2019 и 2020 годов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Рассмотрев основные направления бюджетной и налоговой политики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на 2018 год и на плановый период 2019 и 2020 годов,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ПОСТАНОВЛЯЕТ: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Одобрить основные направления бюджетной и налоговой политики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2018 год и на плановый период 2019 и 2020 годов согласно приложению к настоящему постановлению.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 МО</w:t>
      </w:r>
      <w:r>
        <w:rPr>
          <w:rFonts w:ascii="Arial" w:hAnsi="Arial" w:cs="Arial"/>
          <w:color w:val="000000"/>
          <w:sz w:val="22"/>
          <w:szCs w:val="22"/>
        </w:rPr>
        <w:br/>
        <w:t xml:space="preserve">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к постановлению</w:t>
      </w:r>
      <w:r>
        <w:rPr>
          <w:rFonts w:ascii="Arial" w:hAnsi="Arial" w:cs="Arial"/>
          <w:color w:val="000000"/>
          <w:sz w:val="22"/>
          <w:szCs w:val="22"/>
        </w:rPr>
        <w:br/>
        <w:t>администрации МО сельское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от 19 сентября 2017 года № 54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Основные направления бюджетной и налоговой политики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муниципального образования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на 2018 год и на плановый период 2019 и 2020 годов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Бюджетная и налоговая политика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определяет основные ориентиры и подходы к формированию бюджета сельского поселения на трехлетний период и направлена на адресное решение социальных проблем и создание оптимального соотношения между расходными обязательствами и доходными источниками бюджета сельского поселения.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I. Основные задачи бюджетной и налоговой политики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на 2018 год и на плановый период 2019 и 2020 годов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Сохранение устойчивости бюджетной системы Юхновского района и обеспечение долгосрочной сбалансированности районного бюджета и бюджетов поселений;</w:t>
      </w:r>
      <w:r>
        <w:rPr>
          <w:rFonts w:ascii="Arial" w:hAnsi="Arial" w:cs="Arial"/>
          <w:color w:val="000000"/>
          <w:sz w:val="22"/>
          <w:szCs w:val="22"/>
        </w:rPr>
        <w:br/>
        <w:t>- укрепление доходной базы консолидированного бюджета Юхновского района за счет наращивания стабильных доходных источников и мобилизации в бюджет имеющихся резервов;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безусловное исполнение всех обязательств государства и выполнение задач, поставленных в Указах Президента Российской Федерации от 7 мая 2012 года, с учетом оптимизации расходов и повышения эффективности использования финансовых ресурсов;</w:t>
      </w:r>
      <w:r>
        <w:rPr>
          <w:rFonts w:ascii="Arial" w:hAnsi="Arial" w:cs="Arial"/>
          <w:color w:val="000000"/>
          <w:sz w:val="22"/>
          <w:szCs w:val="22"/>
        </w:rPr>
        <w:br/>
        <w:t>- обеспечение прозрачного механизма оценки эффективности предоставленных налоговых льгот, установленных соответствующими решениями о налогах;</w:t>
      </w:r>
      <w:r>
        <w:rPr>
          <w:rFonts w:ascii="Arial" w:hAnsi="Arial" w:cs="Arial"/>
          <w:color w:val="000000"/>
          <w:sz w:val="22"/>
          <w:szCs w:val="22"/>
        </w:rPr>
        <w:br/>
        <w:t>- прямое вовлечение населения в решение приоритетных социальных проблем местного уровня;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- повышение открытости и прозрачности управления общественными финансами.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II. Основные направления бюджетной и налоговой политики муниципального образования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2018 год и на плановый период 2019 и 2020 годов</w:t>
      </w:r>
    </w:p>
    <w:p w:rsidR="001A1DCC" w:rsidRDefault="001A1DCC" w:rsidP="001A1D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- Повышение реалистичности и минимизация рисков несбалансированности бюджета;</w:t>
      </w:r>
      <w:r>
        <w:rPr>
          <w:rFonts w:ascii="Arial" w:hAnsi="Arial" w:cs="Arial"/>
          <w:color w:val="000000"/>
          <w:sz w:val="22"/>
          <w:szCs w:val="22"/>
        </w:rPr>
        <w:br/>
        <w:t>- повышение эффективности налогового администрирования с целью достижения объема налоговых поступлений в консолидированный бюджет Юхновского района, соответствующего уровня экономического развития района и отраслей производства;</w:t>
      </w:r>
      <w:r>
        <w:rPr>
          <w:rFonts w:ascii="Arial" w:hAnsi="Arial" w:cs="Arial"/>
          <w:color w:val="000000"/>
          <w:sz w:val="22"/>
          <w:szCs w:val="22"/>
        </w:rPr>
        <w:br/>
        <w:t>- обеспечение роста поступлений неналоговых доходов консолидированного бюджета Юхновского района, в том числе за счет улучшения качества администрирования неналоговых доходов бюджетной системы;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- активизация работы по повышению поступлений от всех мер принудительного взыскания задолженности по платежам в консолидированный бюджет района, по легализации теневой занятости, по использованию механизма самообложения граждан для решения вопросов местного значения;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повышение эффективности реализации мер,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  <w:r>
        <w:rPr>
          <w:rFonts w:ascii="Arial" w:hAnsi="Arial" w:cs="Arial"/>
          <w:color w:val="000000"/>
          <w:sz w:val="22"/>
          <w:szCs w:val="22"/>
        </w:rPr>
        <w:br/>
        <w:t>- поддержка инвестиционной активности субъектов предпринимательской деятельности, совершенствование бюджетного и налогового законодательства;</w:t>
      </w:r>
      <w:r>
        <w:rPr>
          <w:rFonts w:ascii="Arial" w:hAnsi="Arial" w:cs="Arial"/>
          <w:color w:val="000000"/>
          <w:sz w:val="22"/>
          <w:szCs w:val="22"/>
        </w:rPr>
        <w:br/>
        <w:t>- внедрение проектных принципов;</w:t>
      </w:r>
      <w:r>
        <w:rPr>
          <w:rFonts w:ascii="Arial" w:hAnsi="Arial" w:cs="Arial"/>
          <w:color w:val="000000"/>
          <w:sz w:val="22"/>
          <w:szCs w:val="22"/>
        </w:rPr>
        <w:br/>
        <w:t>- концентрация расходов на первоочередных и приоритетных направлениях;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- обеспечение реализации задач, поставленных в Указах Президента Российской Федерации, в том числе в части исполнения социальных обязательств по финансовому обеспечению реализации Указов Президента Российской Федерации по повышению оплаты труда работников образования, здравоохранения, культуры и социальной защиты в соотношении с показателем среднемесячного дохода от трудовой деятельности;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повышение оплаты труда отдельных категорий работников муниципальных учреждений Юхновского района, на которых не распространяется действие Указов Президента Российской Федерации и заработная плата которых не индексировалась с 1 января 2014 года;</w:t>
      </w:r>
      <w:r>
        <w:rPr>
          <w:rFonts w:ascii="Arial" w:hAnsi="Arial" w:cs="Arial"/>
          <w:color w:val="000000"/>
          <w:sz w:val="22"/>
          <w:szCs w:val="22"/>
        </w:rPr>
        <w:br/>
        <w:t>- обеспечение главными распорядителями средств бюджета сельского поселения достижения основных показателей деятельности в условиях ограничения источников финансирования за счет проведения мероприятий по повышению эффективности бюджетных расходов;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усиление стимулирующей роли межбюджетных отношений, в том числе в части повышения заинтересованности муниципальных образований Юхновского района в содействии развитию экономики территорий;</w:t>
      </w:r>
      <w:r>
        <w:rPr>
          <w:rFonts w:ascii="Arial" w:hAnsi="Arial" w:cs="Arial"/>
          <w:color w:val="000000"/>
          <w:sz w:val="22"/>
          <w:szCs w:val="22"/>
        </w:rPr>
        <w:br/>
        <w:t>- поддержка проектов развития общественной инфраструктуры муниципальных образований Юхновского района, основанных на местных инициативах;</w:t>
      </w:r>
      <w:r>
        <w:rPr>
          <w:rFonts w:ascii="Arial" w:hAnsi="Arial" w:cs="Arial"/>
          <w:color w:val="000000"/>
          <w:sz w:val="22"/>
          <w:szCs w:val="22"/>
        </w:rPr>
        <w:br/>
        <w:t>- проведение долговой политики Юхновского района с учетом установленных ограничений и необходимости сбалансированности бюджета сельского поселения и своевременного исполнения долговых обязательств Юхновского района;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- совершенствование механизмов осуществления внутреннего финансового контроля;</w:t>
      </w:r>
      <w:r>
        <w:rPr>
          <w:rFonts w:ascii="Arial" w:hAnsi="Arial" w:cs="Arial"/>
          <w:color w:val="000000"/>
          <w:sz w:val="22"/>
          <w:szCs w:val="22"/>
        </w:rPr>
        <w:br/>
        <w:t>- обеспечение публичности процесса управления общественными финансами, гарантирующей обществу право на доступ к открытым муниципальным данным.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1DCC"/>
    <w:rsid w:val="001A1DCC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1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1D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3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4835</Characters>
  <Application>Microsoft Office Word</Application>
  <DocSecurity>0</DocSecurity>
  <Lines>40</Lines>
  <Paragraphs>11</Paragraphs>
  <ScaleCrop>false</ScaleCrop>
  <Company>Microsoft</Company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2023-01-27T08:50:00Z</dcterms:created>
  <dcterms:modified xsi:type="dcterms:W3CDTF">2023-01-27T08:50:00Z</dcterms:modified>
</cp:coreProperties>
</file>