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2462" w:rsidRDefault="002D2462" w:rsidP="002D2462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Анонс</w:t>
      </w:r>
    </w:p>
    <w:p w:rsidR="002D2462" w:rsidRDefault="002D2462" w:rsidP="002D2462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Внимание – это важно!</w:t>
      </w:r>
    </w:p>
    <w:p w:rsidR="002D2462" w:rsidRDefault="002D2462" w:rsidP="002D2462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Кадастровая палата по Калужской области сообщает: на сайте ФГБУ ФКП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Росреестра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> </w:t>
      </w:r>
      <w:r>
        <w:rPr>
          <w:rStyle w:val="a5"/>
          <w:rFonts w:ascii="Arial" w:hAnsi="Arial" w:cs="Arial"/>
          <w:b/>
          <w:bCs/>
          <w:color w:val="000000"/>
          <w:sz w:val="22"/>
          <w:szCs w:val="22"/>
        </w:rPr>
        <w:t>(http://kadastr.ru)</w:t>
      </w:r>
      <w:r>
        <w:rPr>
          <w:rFonts w:ascii="Arial" w:hAnsi="Arial" w:cs="Arial"/>
          <w:color w:val="000000"/>
          <w:sz w:val="22"/>
          <w:szCs w:val="22"/>
        </w:rPr>
        <w:t> реализована возможность получения информации об ограничениях использования земельного участка.</w:t>
      </w:r>
    </w:p>
    <w:p w:rsidR="002D2462" w:rsidRDefault="002D2462" w:rsidP="002D2462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proofErr w:type="gramStart"/>
      <w:r>
        <w:rPr>
          <w:rFonts w:ascii="Arial" w:hAnsi="Arial" w:cs="Arial"/>
          <w:color w:val="000000"/>
          <w:sz w:val="22"/>
          <w:szCs w:val="22"/>
        </w:rPr>
        <w:t>Для получения необходимой информации на главной странице указанного сайта из списка электронных сервисов нужно выбрать сервис «Узнать об ограничениях на земельный участок», указать в поисковой строке кадастровый номер или учетный номер зоны и получить результат.</w:t>
      </w:r>
      <w:proofErr w:type="gramEnd"/>
    </w:p>
    <w:p w:rsidR="002D2462" w:rsidRDefault="002D2462" w:rsidP="002D2462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Зачастую правообладатель земельного участка даже не подозревает о том, что его земля расположена в зоне с особыми условиями использования территории, что в свою очередь влечет за собой ряд ограничений по использованию такого участка. Однако, как известно, незнание закона не освобождает от ответственности, и правообладатель, в случае выявления нарушения правового режима зоны с особыми условиями использования территории, будет привлечен к административной ответственности. На сегодняшний день к таким зонам относятся охранные, санитарно-защитные зоны, зоны охраны объектов культурного наследия народов Российской Федерации,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водоохранные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зоны, зоны затопления, зоны подтопления, зоны придорожной полосы, зоны санитарной охраны источников питьевого и хозяйственно-бытового водоснабжения, зоны охраняемых объектов, иные зоны, устанавливаемые в соответствии с законодательством Российской Федерации.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2D2462"/>
    <w:rsid w:val="002D2462"/>
    <w:rsid w:val="009F6108"/>
    <w:rsid w:val="00C509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D24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D2462"/>
    <w:rPr>
      <w:b/>
      <w:bCs/>
    </w:rPr>
  </w:style>
  <w:style w:type="character" w:styleId="a5">
    <w:name w:val="Emphasis"/>
    <w:basedOn w:val="a0"/>
    <w:uiPriority w:val="20"/>
    <w:qFormat/>
    <w:rsid w:val="002D2462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508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206</Words>
  <Characters>1178</Characters>
  <Application>Microsoft Office Word</Application>
  <DocSecurity>0</DocSecurity>
  <Lines>9</Lines>
  <Paragraphs>2</Paragraphs>
  <ScaleCrop>false</ScaleCrop>
  <Company>Microsoft</Company>
  <LinksUpToDate>false</LinksUpToDate>
  <CharactersWithSpaces>1382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2023-02-16T08:38:00Z</dcterms:created>
  <dcterms:modified xsi:type="dcterms:W3CDTF">2023-02-16T08:39:00Z</dcterms:modified>
</cp:coreProperties>
</file>