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bookmarkStart w:id="0" w:name="_GoBack"/>
      <w:bookmarkEnd w:id="0"/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7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ППМИ в Красноярском крае  направлено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123F81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81280</wp:posOffset>
                </wp:positionV>
                <wp:extent cx="6941820" cy="2154555"/>
                <wp:effectExtent l="13335" t="10795" r="7620" b="63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5FAD94" id="AutoShape 44" o:spid="_x0000_s1026" style="position:absolute;margin-left:-11.7pt;margin-top:6.4pt;width:546.6pt;height:1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    </w:pict>
          </mc:Fallback>
        </mc:AlternateConten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от населения и спонсоров для софинансирования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Pr="00B271A5">
              <w:rPr>
                <w:b w:val="0"/>
                <w:sz w:val="16"/>
                <w:szCs w:val="16"/>
              </w:rPr>
              <w:t>не менее 3 %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</w:p>
    <w:p w:rsidR="00EB4547" w:rsidRDefault="0086271E" w:rsidP="0086271E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no Pro Caption" w:eastAsia="Times New Roman" w:hAnsi="Arno Pro Caption"/>
          <w:color w:val="333333"/>
          <w:sz w:val="20"/>
          <w:szCs w:val="20"/>
          <w:lang w:eastAsia="ru-RU"/>
        </w:rPr>
      </w:pPr>
      <w:r w:rsidRPr="0086271E">
        <w:rPr>
          <w:rFonts w:ascii="Times New Roman" w:eastAsia="Times New Roman" w:hAnsi="Times New Roman"/>
          <w:b/>
          <w:i/>
          <w:color w:val="FF0000"/>
          <w:sz w:val="18"/>
          <w:szCs w:val="18"/>
          <w:lang w:eastAsia="ru-RU"/>
        </w:rPr>
        <w:t>Об успешной реализации Вашего проекта должны знать не только в Вашем поселении, районе, но и в других регионах России!!!</w:t>
      </w:r>
    </w:p>
    <w:sectPr w:rsidR="00EB4547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E6E46"/>
    <w:rsid w:val="004F140E"/>
    <w:rsid w:val="0054178E"/>
    <w:rsid w:val="00544564"/>
    <w:rsid w:val="00555347"/>
    <w:rsid w:val="005954DE"/>
    <w:rsid w:val="00660FA5"/>
    <w:rsid w:val="006C2E36"/>
    <w:rsid w:val="00712944"/>
    <w:rsid w:val="007172DB"/>
    <w:rsid w:val="0077414A"/>
    <w:rsid w:val="007F5A6B"/>
    <w:rsid w:val="00825651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416C"/>
    <w:rsid w:val="00B0173F"/>
    <w:rsid w:val="00B271A5"/>
    <w:rsid w:val="00B31956"/>
    <w:rsid w:val="00B40209"/>
    <w:rsid w:val="00B41B6E"/>
    <w:rsid w:val="00B73D19"/>
    <w:rsid w:val="00B973F6"/>
    <w:rsid w:val="00BD0E17"/>
    <w:rsid w:val="00C64E17"/>
    <w:rsid w:val="00CD3250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B4003-A779-4BEB-A267-61E1E8A2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USER</cp:lastModifiedBy>
  <cp:revision>3</cp:revision>
  <cp:lastPrinted>2016-09-20T09:20:00Z</cp:lastPrinted>
  <dcterms:created xsi:type="dcterms:W3CDTF">2018-02-28T05:23:00Z</dcterms:created>
  <dcterms:modified xsi:type="dcterms:W3CDTF">2018-02-28T05:23:00Z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